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C6" w:rsidRPr="00D909C6" w:rsidRDefault="00D909C6" w:rsidP="00D909C6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D909C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"Концепция общенациональной системы выявления и развития молодых талантов" (утв. Президентом РФ 03.04.2012 N Пр-827)</w:t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9 июня 2017 г. 1:16</w:t>
      </w:r>
    </w:p>
    <w:p w:rsidR="00D909C6" w:rsidRPr="00D909C6" w:rsidRDefault="00D909C6" w:rsidP="00D909C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0" w:name="100001"/>
      <w:bookmarkEnd w:id="0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Утверждена</w:t>
      </w:r>
    </w:p>
    <w:p w:rsidR="00D909C6" w:rsidRPr="00D909C6" w:rsidRDefault="00D909C6" w:rsidP="00D909C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Президентом Российской Федерации</w:t>
      </w:r>
    </w:p>
    <w:p w:rsidR="00D909C6" w:rsidRPr="00D909C6" w:rsidRDefault="00D909C6" w:rsidP="00D909C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3 апреля 2012 г. N Пр-827</w:t>
      </w:r>
    </w:p>
    <w:p w:rsidR="00D909C6" w:rsidRPr="00D909C6" w:rsidRDefault="00D909C6" w:rsidP="00D909C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" w:name="100002"/>
      <w:bookmarkEnd w:id="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КОНЦЕПЦИЯ</w:t>
      </w:r>
    </w:p>
    <w:p w:rsidR="00D909C6" w:rsidRPr="00D909C6" w:rsidRDefault="00D909C6" w:rsidP="00D909C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 СИСТЕМЫ ВЫЯВЛЕНИЯ И РАЗВИТИЯ</w:t>
      </w:r>
    </w:p>
    <w:p w:rsidR="00D909C6" w:rsidRPr="00D909C6" w:rsidRDefault="00D909C6" w:rsidP="00D909C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МОЛОДЫХ ТАЛАНТОВ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Настоящая Концепция определяет базовые принципы построения и основные задачи общенациональной системы выявления и развития молодых талантов, а также основные направления ее функционирования.</w:t>
      </w:r>
    </w:p>
    <w:p w:rsidR="00D909C6" w:rsidRPr="00D909C6" w:rsidRDefault="00D909C6" w:rsidP="00D909C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" w:name="100004"/>
      <w:bookmarkEnd w:id="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I. Общие положения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" w:name="100005"/>
      <w:bookmarkEnd w:id="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одаренность. Реализованная возможность каждого человека проявить и применить свой талант, преуспеть в своей профессии влияет на качество жизни, обеспечивает экономический рост и прочность демократических институтов.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" w:name="100006"/>
      <w:bookmarkEnd w:id="4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Современная экономика все больше нуждается в специалистах,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- необходимый элемент модернизации экономики России.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" w:name="100007"/>
      <w:bookmarkEnd w:id="5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В Советском Союзе и в Российской Федерации накоплен богатый опыт работы с одаренными детьми и молодежью. России принадлежит приоритет в создании специализированных учебно-научных центров и школ для одаренных детей, выпускники которых входят в интеллектуальную элиту страны.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" w:name="100008"/>
      <w:bookmarkEnd w:id="6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Многие прошедшие проверку временем формы работы с одаренными детьми и молодежью успешно применяются сегодня в России и в мире: создаются специализированные школы для детей, проявивших выдающиеся способности, центры дополнительного образования и технического творчества; проводятся интеллектуальные, творческие и спортивные состязания; расширяется сотрудничество школ с университетами, учреждениями культуры, науки и спорта, организуются летние и зимние школы для учащихся по разным отраслям знаний, заочные и вечерние школы при вузах; осуществляются исследовательские проекты и научные экспедиции. Все это формирует необходимую для развития способностей среду.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" w:name="100009"/>
      <w:bookmarkEnd w:id="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За последние годы в стране увеличилось число лицеев, гимназий, специализированных школ, реализующих программы работы с одаренными детьми. Десятки тысяч школьников и студентов участвуют в различных конкурсах и олимпиадах. Однако они не всегда находят себя во взрослой жизни. В связи с этим задача обеспечения "социального лифта" для 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талантливой молодежи в условиях изменчивой и конкурентной экономики становится приоритетной.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" w:name="100010"/>
      <w:bookmarkEnd w:id="8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Миссия государства в сфере поиска и поддержки одаренных детей и молодежи состоит в том, чтобы создать эффективную систему образования, обеспечив условия для обучения, воспитания, развития способностей всех детей и молодежи, их дальнейшей самореализации независимо от места жительства, социального положения и финансовых возможностей семьи.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9" w:name="100011"/>
      <w:bookmarkEnd w:id="9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обучения. Для организации работы по этим направлениям необходимо интегрировать существующие механизмы поиска и поддержки одаренных детей и молодежи в общенациональную систему выявления и развития молодых талантов.</w:t>
      </w:r>
    </w:p>
    <w:p w:rsidR="00D909C6" w:rsidRPr="00D909C6" w:rsidRDefault="00D909C6" w:rsidP="00D909C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0" w:name="100012"/>
      <w:bookmarkEnd w:id="10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II. Базовые принципы построения и основные</w:t>
      </w:r>
    </w:p>
    <w:p w:rsidR="00D909C6" w:rsidRPr="00D909C6" w:rsidRDefault="00D909C6" w:rsidP="00D909C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задачи общенациональной системы выявления и развития</w:t>
      </w:r>
    </w:p>
    <w:p w:rsidR="00D909C6" w:rsidRPr="00D909C6" w:rsidRDefault="00D909C6" w:rsidP="00D909C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молодых талантов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1. Общенациональная система выявления и развития молодых талантов формируется как совокупность институтов, программ и мероприятий, обеспечивающих развитие и реализацию способностей всех детей и молодежи в целях достижения ими выдающихся результатов в избранной сфере профессиональной деятельности и высокого качества жизни.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2. Общенациональная система выявления и развития молодых талантов строится на следующих базовых принципах: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1" w:name="100015"/>
      <w:bookmarkEnd w:id="1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а) приоритет интересов личности ребенка, молодого человека, его права на свободу выбора профессии, забота о его здоровье;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2" w:name="100016"/>
      <w:bookmarkEnd w:id="1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б) доступность и открытость;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3" w:name="100017"/>
      <w:bookmarkEnd w:id="1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в) опора на высококвалифицированные кадры, лучшие образовательные учреждения, передовые методики обучения;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4" w:name="100018"/>
      <w:bookmarkEnd w:id="14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г) индивидуальный подход в обучении, непрерывность и преемственность на всех уровнях образования;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5" w:name="100019"/>
      <w:bookmarkEnd w:id="15"/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д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) межведомственное и сетевое взаимодействие;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6" w:name="100020"/>
      <w:bookmarkEnd w:id="16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е) общественный и профессиональный контроль;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7" w:name="100021"/>
      <w:bookmarkEnd w:id="1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ж) сочетание государственных и общественных инициатив и ресурсов.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8" w:name="100022"/>
      <w:bookmarkEnd w:id="18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3. Основными задачами общенациональной системы выявления и развития молодых талантов являются: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9" w:name="100023"/>
      <w:bookmarkEnd w:id="19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а) создание условий для развития способностей всех детей и молодежи независимо от места жительства, социального положения и финансовых возможностей семьи;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0" w:name="100024"/>
      <w:bookmarkEnd w:id="20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б) поддержка лучших учителей и образовательных учреждений, распространение лучшей практики их работы и передовых методов обучения;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1" w:name="100025"/>
      <w:bookmarkEnd w:id="2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в) поддержка образовательных учреждений высшей категории для детей, подростков и молодых людей, проявивших выдающиеся способности.</w:t>
      </w:r>
    </w:p>
    <w:p w:rsidR="00D909C6" w:rsidRPr="00D909C6" w:rsidRDefault="00D909C6" w:rsidP="00D909C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2" w:name="100026"/>
      <w:bookmarkEnd w:id="2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III. Основные направления функционирования </w:t>
      </w:r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</w:t>
      </w:r>
      <w:proofErr w:type="gramEnd"/>
    </w:p>
    <w:p w:rsidR="00D909C6" w:rsidRPr="00D909C6" w:rsidRDefault="00D909C6" w:rsidP="00D909C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системы выявления и развития молодых талантов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3" w:name="100027"/>
      <w:bookmarkEnd w:id="2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1. Основными направлениями функционирования общенациональной системы выявления и развития молодых талантов являются: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4" w:name="100028"/>
      <w:bookmarkEnd w:id="24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а) развитие и совершенствование нормативно-правовой базы в сфере образования, экономических и организационно-управленческих механизмов, обеспечивающих: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5" w:name="100029"/>
      <w:bookmarkEnd w:id="25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учет результатов интеллектуальных, творческих и спортивных состязаний и 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внеучебных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достижений (формирование 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портфолио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) детей и молодежи при отборе для </w:t>
      </w:r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обучения</w:t>
      </w:r>
      <w:proofErr w:type="gram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по профессиональным образовательным программам, создание системы "социальных лифтов";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6" w:name="100030"/>
      <w:bookmarkEnd w:id="26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повышение заинтересованности педагогических работников, образовательных учреждений и работодателей в выявлении и поддержке одаренных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7" w:name="100031"/>
      <w:bookmarkEnd w:id="2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оптимизацию форм отчетности и порядка регламентации педагогической работы;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8" w:name="100032"/>
      <w:bookmarkEnd w:id="28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создание и функционирование национального координационного совета по поддержке молодых талантов России;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9" w:name="100033"/>
      <w:bookmarkEnd w:id="29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б) развитие и совершенствование научной и методической базы научных и образовательных учреждений, включая: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0" w:name="100034"/>
      <w:bookmarkEnd w:id="30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развитие отечественных научных школ;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1" w:name="100035"/>
      <w:bookmarkEnd w:id="3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внедрение современных технологий обучения (в том числе дистанционных), создающих условия для выявления и развития задатков и способностей детей и молодежи в образовательных учреждениях;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2" w:name="100036"/>
      <w:bookmarkEnd w:id="3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разработку 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разноуровневых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образовательных программ, а также соответствующих им учебников, учебных и методических пособий;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3" w:name="100037"/>
      <w:bookmarkEnd w:id="3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в) развитие системы подготовки педагогических и управленческих кадров, включая: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4" w:name="100038"/>
      <w:bookmarkEnd w:id="34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формирование ответственности профессиональных сообществ за результаты педагогической деятельности;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5" w:name="100039"/>
      <w:bookmarkEnd w:id="35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стимулирование педагогических работников и руководителей образовательных учреждений к работе по выявлению и развитию задатков и способностей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6" w:name="100040"/>
      <w:bookmarkEnd w:id="36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обеспечение условий для повышения квалификации педагогических работников и стимулирование роста их профессионального мастерства;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7" w:name="100041"/>
      <w:bookmarkEnd w:id="3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создание 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стажировочных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площадок и ресурсных центров на базе лучших образовательных учреждений;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8" w:name="100042"/>
      <w:bookmarkEnd w:id="38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г) реализация системы мероприятий, направленных на решение поставленных задач на федеральном, региональном и местном уровнях, включая: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9" w:name="100043"/>
      <w:bookmarkEnd w:id="39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разработку и реализацию региональных и муниципальных целевых программ по выявлению и развитию задатков и способностей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0" w:name="100044"/>
      <w:bookmarkEnd w:id="40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развитие сети образовательных учреждений высшей категории для детей, подростков и молодых людей, проявивших выдающиеся способности, детских спортивных школ, школ искусств, центров технического творчества, зимних и летних школ и лагерей, дистанционных школ;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1" w:name="100045"/>
      <w:bookmarkEnd w:id="4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организацию научных и творческих мероприятий для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2" w:name="100046"/>
      <w:bookmarkEnd w:id="4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создание и обеспечение функционирования национального информационно-образовательного </w:t>
      </w:r>
      <w:proofErr w:type="spellStart"/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интернет-портала</w:t>
      </w:r>
      <w:proofErr w:type="spellEnd"/>
      <w:proofErr w:type="gram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3" w:name="100047"/>
      <w:bookmarkEnd w:id="4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поддержку специализированных журналов, </w:t>
      </w:r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теле</w:t>
      </w:r>
      <w:proofErr w:type="gram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и радиопрограмм для детей и молодежи по различным отраслям знаний в области науки, техники, культуры, искусства, спорта;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4" w:name="100048"/>
      <w:bookmarkEnd w:id="44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поддержку сообществ (в том числе </w:t>
      </w:r>
      <w:proofErr w:type="spellStart"/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интернет-сообществ</w:t>
      </w:r>
      <w:proofErr w:type="spellEnd"/>
      <w:proofErr w:type="gram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) детей и молодежи по интересам в области науки, техники, культуры, искусства, спорта;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5" w:name="100049"/>
      <w:bookmarkEnd w:id="45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- развитие системы дополнительного образования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6" w:name="100050"/>
      <w:bookmarkEnd w:id="46"/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д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) развитие и совершенствование системы интеллектуальных, творческих и спортивных состязаний, включая: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7" w:name="100051"/>
      <w:bookmarkEnd w:id="4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повышение качества, методического и организационного обеспечения, доступности и прозрачности таких состязаний;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8" w:name="100052"/>
      <w:bookmarkEnd w:id="48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формирование реестра межрегиональных, всероссийских, международных состязаний среди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9" w:name="100053"/>
      <w:bookmarkEnd w:id="49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формирование национального реестра именных стипендий, премий, грантов для одаренных детей и молодежи;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0" w:name="100054"/>
      <w:bookmarkEnd w:id="50"/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создание системы интеллектуальных и творческих состязаний (в том числе конкурсов профессионального мастерства) для обучающихся в образовательных учреждениях высшего и среднего профессионального образования с участием научных организаций и 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бизнес-сообщества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;</w:t>
      </w:r>
      <w:proofErr w:type="gramEnd"/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1" w:name="100055"/>
      <w:bookmarkEnd w:id="5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участие в международных интеллектуальных, творческих и спортивных состязаниях;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2" w:name="100056"/>
      <w:bookmarkEnd w:id="5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е) формирование условий для профессиональной самореализации молодежи, включая: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3" w:name="100057"/>
      <w:bookmarkEnd w:id="5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стимулирование проектной и научно-исследовательской деятельности студентов, в том числе в рамках отраслевых проектов и программ;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4" w:name="100058"/>
      <w:bookmarkEnd w:id="54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поддержку конкурсов профессионального мастерства на основе государственно-частного и социального партнерства;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5" w:name="100059"/>
      <w:bookmarkEnd w:id="55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- развитие форм поддержки победителей и </w:t>
      </w:r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призеров</w:t>
      </w:r>
      <w:proofErr w:type="gram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интеллектуальных и творческих состязаний, подготовивших их педагогических коллективов и учреждений;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6" w:name="100060"/>
      <w:bookmarkEnd w:id="56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формирование системы содействия трудоустройству выпускников образовательных учреждений высшего и среднего профессионального образования, проявивших выдающиеся способности в выбранной специальности, в ведущие отечественные научные и научно-образовательные организации, высокотехнологичные компании, учреждения культуры, искусства, спорта;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7" w:name="100061"/>
      <w:bookmarkEnd w:id="5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- привлечение перспективных молодых специалистов к работе в ведущих отечественных компаниях и на предприятиях, в учреждениях культуры и спорта (предоставление социального пакета, жилья и т.д.).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8" w:name="100062"/>
      <w:bookmarkEnd w:id="58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2. Координацию функционирования общенациональной системы выявления и развития молодых талантов на федеральном уровне осуществляет национальный координационный совет по поддержке молодых талантов России.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9" w:name="100063"/>
      <w:bookmarkEnd w:id="59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3. Положения Концепции общенациональной системы выявления и развития молодых талантов реализуются путем осуществления комплекса мер, интегрирующего мероприятия по данному направлению в соответствующие государственные программы, а также в федеральные, региональные и муниципальные целевые программы в сфере образования, науки, культуры и спорта.</w:t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br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br/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br/>
      </w:r>
    </w:p>
    <w:p w:rsidR="00D909C6" w:rsidRPr="00D909C6" w:rsidRDefault="00D909C6" w:rsidP="00D909C6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D909C6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lastRenderedPageBreak/>
        <w:t>Судебная практика и законодательство — "Концепция общенациональной системы выявления и развития молодых талантов" (утв. Президентом РФ 03.04.2012 N Пр-827)</w:t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hyperlink r:id="rId5" w:anchor="100362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Распоряжение Правительства РФ от 01.12.2016 N 2563-р (ред. от 20.05.2017) &lt;Об утверждении плана мероприятий по реализации в 2016 - 2018 годах Стратегии государственной культурной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политики на период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до 2030 года&gt;</w:t>
        </w:r>
      </w:hyperlink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0" w:name="100362"/>
      <w:bookmarkEnd w:id="60"/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Формирование условий и осуществление мер, направленных на увеличение количества детей, вовлеченных в творческие мероприятия и детские школы искусств, поддержку одаренных детей и молодежи (в том числе в рамках Комплекса мер по реализации</w:t>
      </w:r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begin"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instrText xml:space="preserve"> HYPERLINK "http://legalacts.ru/doc/kontseptsija-obshchenatsionalnoi-sistemy-vyjavlenija-i-razvitija-molodykh/" </w:instrTex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separate"/>
      </w:r>
      <w:r w:rsidRPr="00D909C6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Концепции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end"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системы выявления и развития молодых талантов,</w:t>
      </w:r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hyperlink r:id="rId6" w:anchor="100008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развития дополнительного образования детей,</w:t>
      </w:r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hyperlink r:id="rId7" w:anchor="100008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Плана</w:t>
        </w:r>
      </w:hyperlink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мероприятий на 2015 - 2017 годы по реализации важнейших положений Национальной стратегии действий в интересах</w:t>
      </w:r>
      <w:proofErr w:type="gram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детей на 2012 - 2017 годы)</w:t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br/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hyperlink r:id="rId8" w:anchor="100162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 Правительства РФ от 23.05.2015 N 497 (ред. от 02.02.2017) "О Федеральной целевой программе развития образования на 2016 - 2020 годы"</w:t>
        </w:r>
      </w:hyperlink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1" w:name="100162"/>
      <w:bookmarkEnd w:id="61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будет обеспечено выполнение комплекса мер по реализации</w:t>
      </w:r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hyperlink r:id="rId9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 системы выявления и развития молодых талантов;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2" w:name="100163"/>
      <w:bookmarkEnd w:id="62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будут внедрены современные модели выявления, психолого-педагогического сопровождения талантливых детей;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3" w:name="100164"/>
      <w:bookmarkEnd w:id="63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будут поддержаны создание и реализация программ развития новых специальных учебно-научных центров (не менее 4) для обеспечения территориальной доступности высокоуровневого обучения талантливых школьников в ведущих университетах;</w:t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br/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hyperlink r:id="rId10" w:anchor="101371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Распоряжение Правительства РФ от 15.05.2013 N 792-р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&lt;О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б утверждении государственной программы Российской Федерации "Развитие образования" на 2013 - 2020 годы&gt;</w:t>
        </w:r>
      </w:hyperlink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4" w:name="101371"/>
      <w:bookmarkEnd w:id="64"/>
      <w:proofErr w:type="gram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В соответствии с утвержденными "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begin"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instrText xml:space="preserve"> HYPERLINK "http://legalacts.ru/doc/kontseptsija-obshchenatsionalnoi-sistemy-vyjavlenija-i-razvitija-molodykh/" </w:instrTex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separate"/>
      </w:r>
      <w:r w:rsidRPr="00D909C6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Концепцией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end"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системы выявления и развития молодых талантов" и Комплексом мер по ее реализации основными направлениями функционирования общенациональной системы выявления и развития молодых талантов являются:</w:t>
      </w:r>
      <w:proofErr w:type="gramEnd"/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br/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hyperlink r:id="rId11" w:anchor="100013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 Правительства РФ от 10.09.2012 N 897 (ред. от 24.06.2017) "О Национальном координационном совете по поддержке молодых талантов России" (вместе с "Положением о Национальном координационном совете по поддержке молодых талантов России")</w:t>
        </w:r>
      </w:hyperlink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5" w:name="100013"/>
      <w:bookmarkEnd w:id="65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а) координация реализации</w:t>
      </w:r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hyperlink r:id="rId12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 системы выявления и развития молодых талантов, утвержденной Президентом Российской Федерации 3 апреля 2012 г. N Пр-827;</w:t>
      </w:r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6" w:name="100014"/>
      <w:bookmarkEnd w:id="66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б) выработка предложений по интеграции механизмов поиска и поддержки одаренных детей и молодежи в общенациональную систему выявления и развития молодых талантов;</w:t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909C6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br/>
      </w:r>
    </w:p>
    <w:p w:rsidR="00D909C6" w:rsidRPr="00D909C6" w:rsidRDefault="00D909C6" w:rsidP="00D909C6">
      <w:pPr>
        <w:spacing w:after="0"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hyperlink r:id="rId13" w:anchor="100003" w:history="1"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&lt;Письмо&gt; </w:t>
        </w:r>
        <w:proofErr w:type="spellStart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27.02.2015 N 08-223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&lt;О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создании информационно-образовательного портала общенациональной системы поиска и поддержки одаренных детей и молодежи&gt;</w:t>
        </w:r>
      </w:hyperlink>
    </w:p>
    <w:p w:rsidR="00D909C6" w:rsidRPr="00D909C6" w:rsidRDefault="00D909C6" w:rsidP="00D909C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7" w:name="100003"/>
      <w:bookmarkEnd w:id="67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Департамент государственной политики в сфере общего образования (далее - Департамент) в целях выполнения Комплекса мер по реализации</w:t>
      </w:r>
      <w:r w:rsidRPr="00D909C6">
        <w:rPr>
          <w:rFonts w:ascii="inherit" w:eastAsia="Times New Roman" w:hAnsi="inherit" w:cs="Arial"/>
          <w:sz w:val="23"/>
          <w:lang w:eastAsia="ru-RU"/>
        </w:rPr>
        <w:t> </w:t>
      </w:r>
      <w:proofErr w:type="spellStart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begin"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instrText xml:space="preserve"> HYPERLINK "http://legalacts.ru/doc/kontseptsija-obshchenatsionalnoi-sistemy-vyjavlenija-i-razvitija-molodykh/" \l "100046" </w:instrTex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separate"/>
      </w:r>
      <w:r w:rsidRPr="00D909C6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Концепции</w:t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fldChar w:fldCharType="end"/>
      </w:r>
      <w:r w:rsidRPr="00D909C6">
        <w:rPr>
          <w:rFonts w:ascii="inherit" w:eastAsia="Times New Roman" w:hAnsi="inherit" w:cs="Arial"/>
          <w:sz w:val="23"/>
          <w:szCs w:val="23"/>
          <w:lang w:eastAsia="ru-RU"/>
        </w:rPr>
        <w:t>общенациональной</w:t>
      </w:r>
      <w:proofErr w:type="spellEnd"/>
      <w:r w:rsidRPr="00D909C6">
        <w:rPr>
          <w:rFonts w:ascii="inherit" w:eastAsia="Times New Roman" w:hAnsi="inherit" w:cs="Arial"/>
          <w:sz w:val="23"/>
          <w:szCs w:val="23"/>
          <w:lang w:eastAsia="ru-RU"/>
        </w:rPr>
        <w:t xml:space="preserve"> системы выявления и развития молодых талантов информирует о создании информационно-образовательного портала общенациональной системы поиска и поддержки одаренных детей и молодежи (далее - портал).</w:t>
      </w:r>
    </w:p>
    <w:p w:rsidR="00D909C6" w:rsidRPr="00D909C6" w:rsidRDefault="00D909C6" w:rsidP="00D909C6">
      <w:pPr>
        <w:spacing w:line="330" w:lineRule="atLeas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D909C6" w:rsidRPr="00D909C6" w:rsidRDefault="00D909C6" w:rsidP="00D909C6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9C6" w:rsidRPr="00D909C6" w:rsidRDefault="00D909C6" w:rsidP="00D909C6">
      <w:pPr>
        <w:shd w:val="clear" w:color="auto" w:fill="F7F7F7"/>
        <w:spacing w:line="240" w:lineRule="auto"/>
        <w:textAlignment w:val="baseline"/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  <w:t>ЗАКОНОДАТЕЛЬСТВО РФ</w:t>
      </w:r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15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Кодексы РФ в действующей редакции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16" w:tooltip="&quot;Арбитражный процессуальный кодекс Российской Федерации&quot; от 24.07.2002 N 95-ФЗ&#10;(с изм. от 17.11.2005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АПК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17" w:tooltip="&quot;Бюджетный кодекс Российской Федерации&quot; от 31.07.1998 N 145-ФЗ&#10;(с изм. от 31.12.1999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Бюджетный кодекс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18" w:tooltip="&quot;Водный кодекс Российской Федерации&quot; от 03.06.2006 N 74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Водный кодекс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19" w:tooltip="&quot;Воздушный кодекс Российской Федерации&quot; от 19.03.1997 N 60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Воздушный кодекс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0" w:tooltip="&quot;Гражданский кодекс Российской Федерации (часть первая)&quot; от 30.11.1994 N 51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ГК РФ часть 1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1" w:tooltip="&quot;Гражданский кодекс Российской Федерации (часть вторая)&quot; от 26.01.1996 N 14-ФЗ&#10;(с изм. от 26.01.1996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ГК РФ часть 2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2" w:tooltip="&quot;Гражданский кодекс Российской Федерации (часть третья)&quot; от 26.11.2001 N 146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ГК РФ часть 3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3" w:tooltip="&quot;Гражданский кодекс Российской Федерации (часть четвертая)&quot; от 18.12.2006 N 230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ГК РФ часть 4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4" w:tooltip="&quot;Гражданский процессуальный кодекс Российской Федерации&quot; от 14.11.2002 N 138-ФЗ&#10;(с изм. от 26.12.2005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ГПК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5" w:tooltip="&quot;Градостроительный кодекс Российской Федерации&quot; от 29.12.2004 N 190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Градостроительный кодекс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6" w:tooltip="&quot;Жилищный кодекс Российской Федерации&quot; от 29.12.2004 N 188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Жилищный кодекс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7" w:tooltip="&quot;Земельный кодекс Российской Федерации&quot; от 25.10.2001 N 136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Земельный кодекс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8" w:tooltip="&quot;Кодекс административного судопроизводства Российской Федерации&quot; от 08.03.2015 N 21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КАС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29" w:tooltip="&quot;Кодекс Российской Федерации об административных правонарушениях&quot; от 30.12.2001 N 195-ФЗ" w:history="1">
        <w:proofErr w:type="spell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КоАП</w:t>
        </w:r>
        <w:proofErr w:type="spell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0" w:tooltip="&quot;Кодекс внутреннего водного транспорта Российской Федерации&quot; от 07.03.2001 N 24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Кодекс внутреннего водного транспорта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1" w:tooltip="&quot;Кодекс торгового мореплавания Российской Федерации&quot; от 30.04.1999 N 81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Кодекс торгового мореплавания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2" w:tooltip="&quot;Лесной кодекс Российской Федерации&quot; от 04.12.2006 N 200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Лесной кодекс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3" w:tooltip="&quot;Налоговый кодекс Российской Федерации (часть первая)&quot; от 31.07.1998 N 146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Налоговый кодекс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ч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.1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4" w:tooltip="&quot;Налоговый кодекс Российской Федерации (часть вторая)&quot; от 05.08.2000 N 117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Налоговый кодекс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ч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.2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5" w:tooltip="&quot;Семейный кодекс Российской Федерации&quot; от 29.12.1995 N 223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Семейный кодекс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6" w:tooltip="&quot;Трудовой кодекс Российской Федерации&quot; от 30.12.2001 N 197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ТК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7" w:tooltip="&quot;Уголовно - исполнительный кодекс Российской Федерации&quot; от 08.01.1997 N 1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УИК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8" w:tooltip="&quot;Уголовный кодекс Российской Федерации&quot; от 13.06.1996 N 63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УК РФ</w:t>
        </w:r>
      </w:hyperlink>
    </w:p>
    <w:p w:rsidR="00D909C6" w:rsidRPr="00D909C6" w:rsidRDefault="00D909C6" w:rsidP="00D909C6">
      <w:pPr>
        <w:numPr>
          <w:ilvl w:val="0"/>
          <w:numId w:val="1"/>
        </w:numPr>
        <w:shd w:val="clear" w:color="auto" w:fill="F7F7F7"/>
        <w:spacing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39" w:tooltip="&quot;Уголовно-процессуальный кодекс Российской Федерации&quot; от 18.12.2001 N 174-ФЗ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УПК РФ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40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Судебная практика высших судов РФ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41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Законы Российской Федерации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42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Документы Президента Российской Федерации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43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Документы Правительства Российской Федерации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44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Документы органов государственной власти РФ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45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 xml:space="preserve">Документы Президиума и Пленума </w:t>
        </w:r>
        <w:proofErr w:type="gramStart"/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ВС</w:t>
        </w:r>
        <w:proofErr w:type="gramEnd"/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 xml:space="preserve"> РФ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46" w:tooltip="&quot;Обзор судебной практики разрешения дел по спорам, возникающим в связи с участием граждан в долевом строительстве многоквартирных домов и иных объектов недвижимости&quot; (утв. Президиумом Верховного Суда РФ 19.07.2017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"Обзор судебной практики разрешения дел по спорам, возникающим в связи с участием граждан в долевом строительстве многоквартирных домов и иных объектов недвижимости"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47" w:tooltip="Постановление Пленума Верховного Суда РФ от 13.07.2017 N 29 &quot;Об утверждении в соответствии с пунктом 9 части 3 статьи 5 Федерального конституционного закона от 5 февраля 2014 года N 3-ФКЗ &quot;О Верховном Суде Российской Федерации&quot; персональных составов президиумов судов&quot;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Пленума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13.07.2017 N 29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48" w:tooltip="Постановление Президиума Верховного Суда РФ от 12.07.2017 N 124-П17 О возобновлении производства по делу о мошенничестве (ст. 159 УК РФ) в связи с установлением Европейским Судом по правам человека нарушения Конвенции о защите прав человека и основных свобод при производстве по уголовному делу.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Президиума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12.07.2017 N 124-П17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49" w:tooltip="&quot;Обзор судебной практики Верховного Суда Российской Федерации N 3 (2017)&quot; (утв. Президиумом Верховного Суда РФ 12.07.2017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"Обзор судебной практики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Российской Федерации N 3 (2017)"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0" w:tooltip="Постановление Президиума Верховного Суда РФ от 12.07.2017 N 110-П17 Требование: О возобновлении производства по делу ввиду новых обстоятельств. Решение: Требование удовлетворено, поскольку Европейским Судом по правам человека установлено нарушение п. 3 ст. 5 Конвенции о защите прав человека и основных свобод в связи с тем, что суды продлевали срок содержания заявителя под стражей, опираясь в основном на тяжесть обвинения, не приводя конкретных фактов, имеющих отношение к делу, не оценив личной ситуации заявителя и не рассмотрев возможности применения альтернативных мер пресечения.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Президиума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12.07.2017 N 110-П17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1" w:tooltip="Постановление Президиума Верховного Суда РФ от 12.07.2017 N 117-П17 Требование: О возобновлении производства по делу ввиду новых обстоятельств. Решение: Требование удовлетворено, поскольку Европейским Судом по правам человека установлено нарушение п. 3 ст. 5 Конвенции о защите прав человека и основных свобод в связи с тем, что суды продлевали срок содержания заявителя под стражей, опираясь в основном на тяжесть обвинения, не приводя конкретных фактов, имеющих отношение к делу, не оценив личной ситуации заявителя и не рассмотрев возможности применения альтернативных мер пресечения.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Президиума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12.07.2017 N 117-П17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2" w:tooltip="Постановление Президиума Верховного Суда РФ от 12.07.2017 N 3-ПК17 О возобновлении производства по делу об умышленном причинении тяжкого вреда здоровью (ст. 111 УК РФ) в связи с установлением Европейским Судом по правам человека нарушения Конвенции о защите прав человека и основных свобод при производстве по уголовному делу.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Президиума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12.07.2017 N 3-ПК17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3" w:tooltip="Постановление Президиума Верховного Суда РФ от 12.07.2017 N 131-П17 Требование: О возобновлении производства по уголовному делу ввиду новых обстоятельств. Решение: Требование удовлетворено, так как Европейским Судом по правам человека установлены нарушения положений п. 3 ст. 5 Конвенции о защите прав человека и основных свобод в связи с чрезмерной продолжительностью содержания заявителя под стражей.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Президиума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12.07.2017 N 131-П17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4" w:tooltip="&quot;Обзор практики разрешения судами споров, связанных с защитой иностранных инвесторов&quot; (утв. Президиумом Верховного Суда РФ 12.07.2017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"Обзор практики разрешения судами споров, связанных с защитой иностранных инвесторов"</w:t>
        </w:r>
      </w:hyperlink>
    </w:p>
    <w:p w:rsidR="00D909C6" w:rsidRPr="00D909C6" w:rsidRDefault="00D909C6" w:rsidP="00D909C6">
      <w:pPr>
        <w:numPr>
          <w:ilvl w:val="0"/>
          <w:numId w:val="2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5" w:tooltip="Постановление Президиума Верховного Суда РФ от 12.07.2017 N 114-П17 Приговор: По ч. 2 ст. 209 УК РФ за бандитизм, п. п. &quot;а&quot;, &quot;в&quot; ч. 3 ст. 162 УК РФ (по двум эпизодам) за разбой, п. п. &quot;а&quot;, &quot;б&quot; ч. 4 ст. 226 УК РФ за хищение оружия, ч. 3 ст. 222 УК РФ за незаконное хранение и ношение оружия. Постановление ВС РФ: Дело направлено на новое рассмотрение, поскольку судом было допущено существенное нарушение уголовно-процессуального закона, повлиявшее на исход дела; осужденный был лишен возможности реализовать свое право на участие в судебном заседании, а также высказать свое мнение об участии в процессе защитника.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Постановление Президиума </w:t>
        </w:r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ВС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РФ от 12.07.2017 N 114-П17</w:t>
        </w:r>
      </w:hyperlink>
    </w:p>
    <w:p w:rsidR="00D909C6" w:rsidRPr="00D909C6" w:rsidRDefault="00D909C6" w:rsidP="00D909C6">
      <w:pPr>
        <w:shd w:val="clear" w:color="auto" w:fill="F7F7F7"/>
        <w:spacing w:line="240" w:lineRule="auto"/>
        <w:jc w:val="right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6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Подробнее...</w:t>
        </w:r>
      </w:hyperlink>
    </w:p>
    <w:p w:rsidR="00D909C6" w:rsidRPr="00D909C6" w:rsidRDefault="00D909C6" w:rsidP="00D909C6">
      <w:pPr>
        <w:shd w:val="clear" w:color="auto" w:fill="F7F7F7"/>
        <w:spacing w:line="300" w:lineRule="atLeast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hyperlink r:id="rId57" w:history="1">
        <w:r w:rsidRPr="00D909C6">
          <w:rPr>
            <w:rFonts w:ascii="Arial" w:eastAsia="Times New Roman" w:hAnsi="Arial" w:cs="Arial"/>
            <w:color w:val="000000"/>
            <w:sz w:val="27"/>
            <w:u w:val="single"/>
            <w:lang w:eastAsia="ru-RU"/>
          </w:rPr>
          <w:t>Кодексы СССР и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8" w:tooltip="&quot;Водный кодекс РСФСР&quot;&#10;(утв. ВС РСФСР 30.06.1972)&#10;(ред. от 12.03.1980, с изм. от 18.01.1985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Водный кодекс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59" w:tooltip="&quot;Гражданский процессуальный кодекс РСФСР&quot;&#10;(утв. ВС РСФСР 11.06.1964)&#10;(ред. от 03.07.1992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ГПК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0" w:tooltip="&quot;Гражданский кодекс РСФСР&quot;&#10;(утв. ВС РСФСР 11.06.1964)&#10;(ред. от 24.12.1992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Гражданский кодекс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1" w:tooltip="&quot;Жилищный кодекс РСФСР&quot;&#10;(утв. ВС РСФСР 24.06.1983)&#10;(ред. от 06.07.1991, с изм. от 23.06.1995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Жилищный кодекс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2" w:tooltip="&quot;Земельный кодекс РСФСР&quot;&#10;(утв. ВС РСФСР 25.04.1991 N 1103-1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Земельный кодекс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3" w:tooltip="&quot;Исправительно - трудовой кодекс РСФСР&quot;&#10;(утв. ВС РСФСР 18.12.1970)&#10;(ред. от 06.07.1993)" w:history="1">
        <w:proofErr w:type="spellStart"/>
        <w:proofErr w:type="gram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Исправительно</w:t>
        </w:r>
        <w:proofErr w:type="spell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- трудовой</w:t>
        </w:r>
        <w:proofErr w:type="gram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кодекс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4" w:tooltip="&quot;Кодекс РСФСР об административных правонарушениях&quot;&#10;(утв. ВС РСФСР 20.06.1984)&#10;(ред. от 16.07.1993)" w:history="1">
        <w:proofErr w:type="spellStart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КоАП</w:t>
        </w:r>
        <w:proofErr w:type="spellEnd"/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 xml:space="preserve">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5" w:tooltip="&quot;Кодекс законов о труде Российской Федерации&quot;&#10;(утв. ВС РСФСР 09.12.1971)&#10;(ред. от 25.09.1992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Кодекс законов о труде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6" w:tooltip="&quot;Кодекс о браке и семье РСФСР&quot;&#10;(утв. ВС РСФСР 30.07.1969)&#10;(ред. от 24.02.1987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Кодекс о браке и семье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after="0"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7" w:tooltip="&quot;Уголовный кодекс РСФСР&quot;&#10;(утв. ВС РСФСР 27.10.1960)&#10;(ред. от 27.08.1993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УК РСФСР</w:t>
        </w:r>
      </w:hyperlink>
    </w:p>
    <w:p w:rsidR="00D909C6" w:rsidRPr="00D909C6" w:rsidRDefault="00D909C6" w:rsidP="00D909C6">
      <w:pPr>
        <w:numPr>
          <w:ilvl w:val="0"/>
          <w:numId w:val="3"/>
        </w:numPr>
        <w:shd w:val="clear" w:color="auto" w:fill="F7F7F7"/>
        <w:spacing w:line="240" w:lineRule="auto"/>
        <w:ind w:left="22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hyperlink r:id="rId68" w:tooltip="&quot;Уголовно - процессуальный кодекс РСФСР&quot;&#10;(утв. ВС РСФСР 27.10.1960)&#10;(ред. от 27.08.1993, с изм. от 03.05.1995)" w:history="1">
        <w:r w:rsidRPr="00D909C6">
          <w:rPr>
            <w:rFonts w:ascii="inherit" w:eastAsia="Times New Roman" w:hAnsi="inherit" w:cs="Arial"/>
            <w:color w:val="005EA5"/>
            <w:sz w:val="26"/>
            <w:u w:val="single"/>
            <w:lang w:eastAsia="ru-RU"/>
          </w:rPr>
          <w:t>УПК РСФСР</w:t>
        </w:r>
      </w:hyperlink>
    </w:p>
    <w:p w:rsidR="00D909C6" w:rsidRPr="00D909C6" w:rsidRDefault="00D909C6" w:rsidP="00D909C6">
      <w:pPr>
        <w:shd w:val="clear" w:color="auto" w:fill="F7F7F7"/>
        <w:spacing w:line="330" w:lineRule="atLeast"/>
        <w:textAlignment w:val="baseline"/>
        <w:rPr>
          <w:rFonts w:ascii="Arial" w:eastAsia="Times New Roman" w:hAnsi="Arial" w:cs="Arial"/>
          <w:sz w:val="30"/>
          <w:szCs w:val="30"/>
          <w:lang w:eastAsia="ru-RU"/>
        </w:rPr>
      </w:pPr>
      <w:r w:rsidRPr="00D909C6">
        <w:rPr>
          <w:rFonts w:ascii="Arial" w:eastAsia="Times New Roman" w:hAnsi="Arial" w:cs="Arial"/>
          <w:sz w:val="30"/>
          <w:szCs w:val="30"/>
          <w:lang w:eastAsia="ru-RU"/>
        </w:rPr>
        <w:t>Популярные статьи и материалы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69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400-ФЗ от 28.12.2013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страховых пенсиях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0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69-ФЗ от 21.12.1994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пожарной безопасности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1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40-ФЗ от 25.04.2002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об ОСАГО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2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273-ФЗ от 29.12.2012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об образовании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3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79-ФЗ от 27.07.2004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государственной гражданской службе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4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275-ФЗ от 29.12.2012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государственном оборонном заказе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5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N2300-1 от 07.02.1992 ЗППП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О защите прав потребителей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6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273-ФЗ от 25.12.2008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lastRenderedPageBreak/>
        <w:t>ФЗ о противодействии коррупции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7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38-ФЗ от 13.03.2006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рекламе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8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7-ФЗ от 10.01.2002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об охране окружающей среды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79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3-ФЗ от 07.02.2011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полиции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0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402-ФЗ от 06.12.2011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бухгалтерском учете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1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135-ФЗ от 26.07.2006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защите конкуренции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2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99-ФЗ от 04.05.2011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лицензировании отдельных видов деятельности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3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14-ФЗ от 08.02.1998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об ООО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4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223-ФЗ от 18.07.2011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закупках товаров, работ, услуг отдельными видами юридических лиц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5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2202-1 от 17.01.1992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прокуратуре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6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127-ФЗ 26.10.2002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несостоятельности (банкротстве)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7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152-ФЗ от 27.07.2006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персональных данных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8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44-ФЗ от 05.04.2013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 xml:space="preserve">ФЗ о </w:t>
      </w:r>
      <w:proofErr w:type="spellStart"/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госзакупках</w:t>
      </w:r>
      <w:proofErr w:type="spellEnd"/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89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229-ФЗ от 02.10.2007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об исполнительном производстве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0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53-ФЗ от 28.03.1998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воинской службе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1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395-1 от 02.12.1990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ФЗ о банках и банковской деятельности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2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333 ГК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Уменьшение неустойки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3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317.1 ГК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Проценты по денежному обязательству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4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395 ГК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Ответственность за неисполнение денежного обязательства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5" w:history="1">
        <w:proofErr w:type="spellStart"/>
        <w:proofErr w:type="gramStart"/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</w:t>
        </w:r>
        <w:proofErr w:type="spellEnd"/>
        <w:proofErr w:type="gramEnd"/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20.25 </w:t>
        </w:r>
        <w:proofErr w:type="spellStart"/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КоАП</w:t>
        </w:r>
        <w:proofErr w:type="spellEnd"/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Уклонение от исполнения административного наказания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6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81 ТК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Расторжение трудового договора по инициативе работодателя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7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78 БК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Предоставление субсидий юридическим лицам, индивидуальным предпринимателям, физическим лицам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8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ст. 12.8 </w:t>
        </w:r>
        <w:proofErr w:type="spellStart"/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КоАП</w:t>
        </w:r>
        <w:proofErr w:type="spellEnd"/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99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161 БК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Особенности правового положения казенных учреждений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0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77 ТК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Общие основания прекращения трудового договора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1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144 УПК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Порядок рассмотрения сообщения о преступлении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2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125 УПК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Судебный порядок рассмотрения жалоб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3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24 УПК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Основания отказа в возбуждении уголовного дела или прекращения уголовного дела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4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126 АПК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Документы, прилагаемые к исковому заявлению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5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49 АПК РФ</w:t>
        </w:r>
      </w:hyperlink>
    </w:p>
    <w:p w:rsidR="00D909C6" w:rsidRPr="00D909C6" w:rsidRDefault="00D909C6" w:rsidP="00D909C6">
      <w:pPr>
        <w:shd w:val="clear" w:color="auto" w:fill="F7F7F7"/>
        <w:spacing w:before="75" w:after="0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D909C6" w:rsidRPr="00D909C6" w:rsidRDefault="00D909C6" w:rsidP="00D909C6">
      <w:pPr>
        <w:numPr>
          <w:ilvl w:val="1"/>
          <w:numId w:val="4"/>
        </w:numPr>
        <w:shd w:val="clear" w:color="auto" w:fill="F7F7F7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hyperlink r:id="rId106" w:history="1">
        <w:r w:rsidRPr="00D909C6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ст. 125 АПК РФ</w:t>
        </w:r>
      </w:hyperlink>
    </w:p>
    <w:p w:rsidR="00D909C6" w:rsidRPr="00D909C6" w:rsidRDefault="00D909C6" w:rsidP="00D909C6">
      <w:pPr>
        <w:shd w:val="clear" w:color="auto" w:fill="F7F7F7"/>
        <w:spacing w:before="75" w:line="240" w:lineRule="auto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ru-RU"/>
        </w:rPr>
      </w:pPr>
      <w:r w:rsidRPr="00D909C6">
        <w:rPr>
          <w:rFonts w:ascii="Arial" w:eastAsia="Times New Roman" w:hAnsi="Arial" w:cs="Arial"/>
          <w:color w:val="6A6A6A"/>
          <w:sz w:val="21"/>
          <w:szCs w:val="21"/>
          <w:lang w:eastAsia="ru-RU"/>
        </w:rPr>
        <w:t>Форма и содержание искового заявления</w:t>
      </w:r>
    </w:p>
    <w:p w:rsidR="00D909C6" w:rsidRPr="00D909C6" w:rsidRDefault="00D909C6" w:rsidP="00D909C6">
      <w:pPr>
        <w:shd w:val="clear" w:color="auto" w:fill="E7E7E7"/>
        <w:spacing w:after="0" w:line="12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04850" cy="762000"/>
            <wp:effectExtent l="19050" t="0" r="0" b="0"/>
            <wp:docPr id="2" name="Рисунок 2" descr="http://legalacts.ru/static/img/bottom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alacts.ru/static/img/bottom-gerb.png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9C6" w:rsidRPr="00D909C6" w:rsidRDefault="00D909C6" w:rsidP="00D909C6">
      <w:pPr>
        <w:shd w:val="clear" w:color="auto" w:fill="E7E7E7"/>
        <w:spacing w:after="0" w:line="12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909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r w:rsidRPr="00D909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c</w:t>
      </w:r>
      <w:proofErr w:type="spellEnd"/>
      <w:r w:rsidRPr="00D909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2015-2017 Законы, кодексы, нормативные и судебные акты</w:t>
      </w:r>
    </w:p>
    <w:p w:rsidR="004E2EB9" w:rsidRDefault="004E2EB9"/>
    <w:sectPr w:rsidR="004E2EB9" w:rsidSect="004E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79B"/>
    <w:multiLevelType w:val="multilevel"/>
    <w:tmpl w:val="FDF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B1EB1"/>
    <w:multiLevelType w:val="multilevel"/>
    <w:tmpl w:val="5E8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555B"/>
    <w:multiLevelType w:val="multilevel"/>
    <w:tmpl w:val="7C9A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714D1"/>
    <w:multiLevelType w:val="multilevel"/>
    <w:tmpl w:val="87C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C6"/>
    <w:rsid w:val="004E2EB9"/>
    <w:rsid w:val="00D9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9"/>
  </w:style>
  <w:style w:type="paragraph" w:styleId="1">
    <w:name w:val="heading 1"/>
    <w:basedOn w:val="a"/>
    <w:link w:val="10"/>
    <w:uiPriority w:val="9"/>
    <w:qFormat/>
    <w:rsid w:val="00D90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0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0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0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9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D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D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09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09C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09C6"/>
  </w:style>
  <w:style w:type="character" w:customStyle="1" w:styleId="b-share">
    <w:name w:val="b-share"/>
    <w:basedOn w:val="a0"/>
    <w:rsid w:val="00D909C6"/>
  </w:style>
  <w:style w:type="character" w:customStyle="1" w:styleId="b-share-icon">
    <w:name w:val="b-share-icon"/>
    <w:basedOn w:val="a0"/>
    <w:rsid w:val="00D909C6"/>
  </w:style>
  <w:style w:type="paragraph" w:styleId="a6">
    <w:name w:val="Balloon Text"/>
    <w:basedOn w:val="a"/>
    <w:link w:val="a7"/>
    <w:uiPriority w:val="99"/>
    <w:semiHidden/>
    <w:unhideWhenUsed/>
    <w:rsid w:val="00D9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690">
                      <w:marLeft w:val="3675"/>
                      <w:marRight w:val="4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4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2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86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00998724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0908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923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94572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791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67800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9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86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05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0979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419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88135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484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34283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21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0908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92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31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8794685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5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9831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egalacts.ru/kodeks/ZHK-RF/" TargetMode="External"/><Relationship Id="rId21" Type="http://schemas.openxmlformats.org/officeDocument/2006/relationships/hyperlink" Target="http://legalacts.ru/kodeks/GK-RF-chast-2/" TargetMode="External"/><Relationship Id="rId42" Type="http://schemas.openxmlformats.org/officeDocument/2006/relationships/hyperlink" Target="http://legalacts.ru/docs/7/" TargetMode="External"/><Relationship Id="rId47" Type="http://schemas.openxmlformats.org/officeDocument/2006/relationships/hyperlink" Target="http://legalacts.ru/sud/postanovlenie-plenuma-verkhovnogo-suda-rf-ot-13072017-n-29/" TargetMode="External"/><Relationship Id="rId63" Type="http://schemas.openxmlformats.org/officeDocument/2006/relationships/hyperlink" Target="http://legalacts.ru/kodeks/ispravitelno-trudovoi-kodeks-rsfsr-utv-vs/" TargetMode="External"/><Relationship Id="rId68" Type="http://schemas.openxmlformats.org/officeDocument/2006/relationships/hyperlink" Target="http://legalacts.ru/kodeks/ugolovno-protsessualnyi-kodeks-rsfsr-utv-vs/" TargetMode="External"/><Relationship Id="rId84" Type="http://schemas.openxmlformats.org/officeDocument/2006/relationships/hyperlink" Target="http://legalacts.ru/doc/223_FZ-o-zakupkah-tovarov_-rabot_-uslug-otdelnymi-vidami-juridicheskih-lic/" TargetMode="External"/><Relationship Id="rId89" Type="http://schemas.openxmlformats.org/officeDocument/2006/relationships/hyperlink" Target="http://legalacts.ru/doc/FZ-ob-ispolnitelnom-proizvodstve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kodeks/APK-RF/" TargetMode="External"/><Relationship Id="rId29" Type="http://schemas.openxmlformats.org/officeDocument/2006/relationships/hyperlink" Target="http://legalacts.ru/kodeks/KOAP-RF/" TargetMode="External"/><Relationship Id="rId107" Type="http://schemas.openxmlformats.org/officeDocument/2006/relationships/image" Target="media/image2.png"/><Relationship Id="rId11" Type="http://schemas.openxmlformats.org/officeDocument/2006/relationships/hyperlink" Target="http://legalacts.ru/doc/postanovlenie-pravitelstva-rf-ot-10092012-n-897/" TargetMode="External"/><Relationship Id="rId24" Type="http://schemas.openxmlformats.org/officeDocument/2006/relationships/hyperlink" Target="http://legalacts.ru/kodeks/GPK-RF/" TargetMode="External"/><Relationship Id="rId32" Type="http://schemas.openxmlformats.org/officeDocument/2006/relationships/hyperlink" Target="http://legalacts.ru/kodeks/LK-RF/" TargetMode="External"/><Relationship Id="rId37" Type="http://schemas.openxmlformats.org/officeDocument/2006/relationships/hyperlink" Target="http://legalacts.ru/kodeks/UIK-RF/" TargetMode="External"/><Relationship Id="rId40" Type="http://schemas.openxmlformats.org/officeDocument/2006/relationships/hyperlink" Target="http://legalacts.ru/sud/" TargetMode="External"/><Relationship Id="rId45" Type="http://schemas.openxmlformats.org/officeDocument/2006/relationships/hyperlink" Target="http://legalacts.ru/sud/6/" TargetMode="External"/><Relationship Id="rId53" Type="http://schemas.openxmlformats.org/officeDocument/2006/relationships/hyperlink" Target="http://legalacts.ru/sud/postanovlenie-prezidiuma-verkhovnogo-suda-rf-ot-12072017-n-131-p17/" TargetMode="External"/><Relationship Id="rId58" Type="http://schemas.openxmlformats.org/officeDocument/2006/relationships/hyperlink" Target="http://legalacts.ru/kodeks/vodnyi-kodeks-rsfsr-utv-vs-rsfsr-30061972/" TargetMode="External"/><Relationship Id="rId66" Type="http://schemas.openxmlformats.org/officeDocument/2006/relationships/hyperlink" Target="http://legalacts.ru/kodeks/kodeks-o-brake-i-seme-rsfsr-utv/" TargetMode="External"/><Relationship Id="rId74" Type="http://schemas.openxmlformats.org/officeDocument/2006/relationships/hyperlink" Target="http://legalacts.ru/doc/FZ-o-gosudarstvennom-oboronnom-zakaze/" TargetMode="External"/><Relationship Id="rId79" Type="http://schemas.openxmlformats.org/officeDocument/2006/relationships/hyperlink" Target="http://legalacts.ru/doc/federalnyi-zakon-ot-07022011-n-3-fz-o/" TargetMode="External"/><Relationship Id="rId87" Type="http://schemas.openxmlformats.org/officeDocument/2006/relationships/hyperlink" Target="http://legalacts.ru/doc/152_FZ-o-personalnyh-dannyh/" TargetMode="External"/><Relationship Id="rId102" Type="http://schemas.openxmlformats.org/officeDocument/2006/relationships/hyperlink" Target="http://legalacts.ru/kodeks/UPK-RF/chast-1/razdel-v/glava-16/statja-125/" TargetMode="External"/><Relationship Id="rId5" Type="http://schemas.openxmlformats.org/officeDocument/2006/relationships/hyperlink" Target="http://legalacts.ru/doc/rasporjazhenie-pravitelstva-rf-ot-01122016-n-2563-r-ob-utverzhdenii/" TargetMode="External"/><Relationship Id="rId61" Type="http://schemas.openxmlformats.org/officeDocument/2006/relationships/hyperlink" Target="http://legalacts.ru/kodeks/zhilishchnyi-kodeks-rsfsr-utv-vs-rsfsr-24061983/" TargetMode="External"/><Relationship Id="rId82" Type="http://schemas.openxmlformats.org/officeDocument/2006/relationships/hyperlink" Target="http://legalacts.ru/doc/99_FZ-o-licenzirovanii-otdelnyh-vidov-dejatelnosti/" TargetMode="External"/><Relationship Id="rId90" Type="http://schemas.openxmlformats.org/officeDocument/2006/relationships/hyperlink" Target="http://legalacts.ru/doc/FZ-o-voinskoj-objazannosti-i-voennoj-sluzhbe/" TargetMode="External"/><Relationship Id="rId95" Type="http://schemas.openxmlformats.org/officeDocument/2006/relationships/hyperlink" Target="http://legalacts.ru/kodeks/KOAP-RF/razdel-ii/glava-20/statja-20.25/" TargetMode="External"/><Relationship Id="rId19" Type="http://schemas.openxmlformats.org/officeDocument/2006/relationships/hyperlink" Target="http://legalacts.ru/kodeks/Vozdushnyi-Kodeks-RF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legalacts.ru/kodeks/GK-RF-chast-3/" TargetMode="External"/><Relationship Id="rId27" Type="http://schemas.openxmlformats.org/officeDocument/2006/relationships/hyperlink" Target="http://legalacts.ru/kodeks/ZK-RF/" TargetMode="External"/><Relationship Id="rId30" Type="http://schemas.openxmlformats.org/officeDocument/2006/relationships/hyperlink" Target="http://legalacts.ru/kodeks/KVVT-RF/" TargetMode="External"/><Relationship Id="rId35" Type="http://schemas.openxmlformats.org/officeDocument/2006/relationships/hyperlink" Target="http://legalacts.ru/kodeks/SK-RF/" TargetMode="External"/><Relationship Id="rId43" Type="http://schemas.openxmlformats.org/officeDocument/2006/relationships/hyperlink" Target="http://legalacts.ru/docs/8/" TargetMode="External"/><Relationship Id="rId48" Type="http://schemas.openxmlformats.org/officeDocument/2006/relationships/hyperlink" Target="http://legalacts.ru/sud/postanovlenie-prezidiuma-verkhovnogo-suda-rf-ot-12072017-n-124-p17/" TargetMode="External"/><Relationship Id="rId56" Type="http://schemas.openxmlformats.org/officeDocument/2006/relationships/hyperlink" Target="http://legalacts.ru/sud/6/" TargetMode="External"/><Relationship Id="rId64" Type="http://schemas.openxmlformats.org/officeDocument/2006/relationships/hyperlink" Target="http://legalacts.ru/kodeks/KOAP-RSFSR/" TargetMode="External"/><Relationship Id="rId69" Type="http://schemas.openxmlformats.org/officeDocument/2006/relationships/hyperlink" Target="http://legalacts.ru/doc/FZ-o-strahovyh-pensijah/" TargetMode="External"/><Relationship Id="rId77" Type="http://schemas.openxmlformats.org/officeDocument/2006/relationships/hyperlink" Target="http://legalacts.ru/doc/federalnyi-zakon-ot-13032006-n-38-fz-o/" TargetMode="External"/><Relationship Id="rId100" Type="http://schemas.openxmlformats.org/officeDocument/2006/relationships/hyperlink" Target="http://legalacts.ru/kodeks/TK-RF/chast-iii/razdel-iii/glava-13/statja-77/" TargetMode="External"/><Relationship Id="rId105" Type="http://schemas.openxmlformats.org/officeDocument/2006/relationships/hyperlink" Target="http://legalacts.ru/kodeks/APK-RF/razdel-i/glava-5/statja-49/" TargetMode="External"/><Relationship Id="rId8" Type="http://schemas.openxmlformats.org/officeDocument/2006/relationships/hyperlink" Target="http://legalacts.ru/doc/postanovlenie-pravitelstva-rf-ot-23052015-n-497/" TargetMode="External"/><Relationship Id="rId51" Type="http://schemas.openxmlformats.org/officeDocument/2006/relationships/hyperlink" Target="http://legalacts.ru/sud/postanovlenie-prezidiuma-verkhovnogo-suda-rf-ot-12072017-n-117-p17/" TargetMode="External"/><Relationship Id="rId72" Type="http://schemas.openxmlformats.org/officeDocument/2006/relationships/hyperlink" Target="http://legalacts.ru/doc/273_FZ-ob-obrazovanii/" TargetMode="External"/><Relationship Id="rId80" Type="http://schemas.openxmlformats.org/officeDocument/2006/relationships/hyperlink" Target="http://legalacts.ru/doc/402_FZ-o-buhgalterskom-uchete/" TargetMode="External"/><Relationship Id="rId85" Type="http://schemas.openxmlformats.org/officeDocument/2006/relationships/hyperlink" Target="http://legalacts.ru/doc/zakon-rf-ot-17011992-n-2202-1-o/" TargetMode="External"/><Relationship Id="rId93" Type="http://schemas.openxmlformats.org/officeDocument/2006/relationships/hyperlink" Target="http://legalacts.ru/kodeks/GK-RF-chast-1/razdel-iii/podrazdel-1/glava-22/statja-317.1/" TargetMode="External"/><Relationship Id="rId98" Type="http://schemas.openxmlformats.org/officeDocument/2006/relationships/hyperlink" Target="http://legalacts.ru/kodeks/KOAP-RF/razdel-ii/glava-12/statja-12.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egalacts.ru/doc/kontseptsija-obshchenatsionalnoi-sistemy-vyjavlenija-i-razvitija-molodykh/" TargetMode="External"/><Relationship Id="rId17" Type="http://schemas.openxmlformats.org/officeDocument/2006/relationships/hyperlink" Target="http://legalacts.ru/kodeks/Bjudzhetnyj-kodeks/" TargetMode="External"/><Relationship Id="rId25" Type="http://schemas.openxmlformats.org/officeDocument/2006/relationships/hyperlink" Target="http://legalacts.ru/kodeks/Gradostroitelnyi-Kodeks-RF/" TargetMode="External"/><Relationship Id="rId33" Type="http://schemas.openxmlformats.org/officeDocument/2006/relationships/hyperlink" Target="http://legalacts.ru/kodeks/NK-RF-chast-1/" TargetMode="External"/><Relationship Id="rId38" Type="http://schemas.openxmlformats.org/officeDocument/2006/relationships/hyperlink" Target="http://legalacts.ru/kodeks/UK-RF/" TargetMode="External"/><Relationship Id="rId46" Type="http://schemas.openxmlformats.org/officeDocument/2006/relationships/hyperlink" Target="http://legalacts.ru/sud/obzor-sudebnoi-praktiki-razresheniia-del-po-sporam-voznikaiushchim-v-sviazi-s-uchastiem-grazhdan-v-dolevom-stroitelstve-mnogokvartirnykh-domov/" TargetMode="External"/><Relationship Id="rId59" Type="http://schemas.openxmlformats.org/officeDocument/2006/relationships/hyperlink" Target="http://legalacts.ru/kodeks/grazhdanskii-protsessualnyi-kodeks-rsfsr-utv-vs-rsfsr/" TargetMode="External"/><Relationship Id="rId67" Type="http://schemas.openxmlformats.org/officeDocument/2006/relationships/hyperlink" Target="http://legalacts.ru/kodeks/ugolovnyi-kodeks-rsfsr-utv-vs-rsfsr-27101960/" TargetMode="External"/><Relationship Id="rId103" Type="http://schemas.openxmlformats.org/officeDocument/2006/relationships/hyperlink" Target="http://legalacts.ru/kodeks/UPK-RF/chast-1/razdel-i/glava-4/statja-24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legalacts.ru/kodeks/GK-RF-chast-1/" TargetMode="External"/><Relationship Id="rId41" Type="http://schemas.openxmlformats.org/officeDocument/2006/relationships/hyperlink" Target="http://legalacts.ru/docs/5/" TargetMode="External"/><Relationship Id="rId54" Type="http://schemas.openxmlformats.org/officeDocument/2006/relationships/hyperlink" Target="http://legalacts.ru/sud/obzor-praktiki-razresheniia-sudami-sporov-sviazannykh-s-zashchitoi-inostrannykh-investorov/" TargetMode="External"/><Relationship Id="rId62" Type="http://schemas.openxmlformats.org/officeDocument/2006/relationships/hyperlink" Target="http://legalacts.ru/kodeks/zemelnyi-kodeks-rsfsr-utv-vs-rsfsr-25041991/" TargetMode="External"/><Relationship Id="rId70" Type="http://schemas.openxmlformats.org/officeDocument/2006/relationships/hyperlink" Target="http://legalacts.ru/doc/FZ-o-pozharnoj-bezopasnosti/" TargetMode="External"/><Relationship Id="rId75" Type="http://schemas.openxmlformats.org/officeDocument/2006/relationships/hyperlink" Target="http://legalacts.ru/doc/ZZPP/" TargetMode="External"/><Relationship Id="rId83" Type="http://schemas.openxmlformats.org/officeDocument/2006/relationships/hyperlink" Target="http://legalacts.ru/doc/14_FZ-ob-obwestvah-s-ogranichennoj-otvetstvennostju/" TargetMode="External"/><Relationship Id="rId88" Type="http://schemas.openxmlformats.org/officeDocument/2006/relationships/hyperlink" Target="http://legalacts.ru/doc/44_FZ-o-kontraktnoj-sisteme/" TargetMode="External"/><Relationship Id="rId91" Type="http://schemas.openxmlformats.org/officeDocument/2006/relationships/hyperlink" Target="http://legalacts.ru/doc/FZ-o-bankah-i-bankovskoj-dejatelnosti/" TargetMode="External"/><Relationship Id="rId96" Type="http://schemas.openxmlformats.org/officeDocument/2006/relationships/hyperlink" Target="http://legalacts.ru/kodeks/TK-RF/chast-iii/razdel-iii/glava-13/statja-8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alacts.ru/doc/rasporjazhenie-pravitelstva-rf-ot-04092014-n-1726-r/" TargetMode="External"/><Relationship Id="rId15" Type="http://schemas.openxmlformats.org/officeDocument/2006/relationships/hyperlink" Target="http://legalacts.ru/kodeksy/" TargetMode="External"/><Relationship Id="rId23" Type="http://schemas.openxmlformats.org/officeDocument/2006/relationships/hyperlink" Target="http://legalacts.ru/kodeks/GK-RF-chast-4/" TargetMode="External"/><Relationship Id="rId28" Type="http://schemas.openxmlformats.org/officeDocument/2006/relationships/hyperlink" Target="http://legalacts.ru/kodeks/kodeks-administrativnogo-sudoproizvodstva-rossiiskoi-federatsii-ot-08032015/" TargetMode="External"/><Relationship Id="rId36" Type="http://schemas.openxmlformats.org/officeDocument/2006/relationships/hyperlink" Target="http://legalacts.ru/kodeks/TK-RF/" TargetMode="External"/><Relationship Id="rId49" Type="http://schemas.openxmlformats.org/officeDocument/2006/relationships/hyperlink" Target="http://legalacts.ru/sud/obzor-sudebnoi-praktiki-verkhovnogo-suda-rossiiskoi-federatsii-n-3-2017/" TargetMode="External"/><Relationship Id="rId57" Type="http://schemas.openxmlformats.org/officeDocument/2006/relationships/hyperlink" Target="http://legalacts.ru/kodeksy_RSFSR/" TargetMode="External"/><Relationship Id="rId106" Type="http://schemas.openxmlformats.org/officeDocument/2006/relationships/hyperlink" Target="http://legalacts.ru/kodeks/APK-RF/razdel-ii/glava-13/statja-125/" TargetMode="External"/><Relationship Id="rId10" Type="http://schemas.openxmlformats.org/officeDocument/2006/relationships/hyperlink" Target="http://legalacts.ru/doc/rasporjazhenie-pravitelstva-rf-ot-15052013-n-792-r/" TargetMode="External"/><Relationship Id="rId31" Type="http://schemas.openxmlformats.org/officeDocument/2006/relationships/hyperlink" Target="http://legalacts.ru/kodeks/KTM-RF/" TargetMode="External"/><Relationship Id="rId44" Type="http://schemas.openxmlformats.org/officeDocument/2006/relationships/hyperlink" Target="http://legalacts.ru/docs/10/" TargetMode="External"/><Relationship Id="rId52" Type="http://schemas.openxmlformats.org/officeDocument/2006/relationships/hyperlink" Target="http://legalacts.ru/sud/postanovlenie-prezidiuma-verkhovnogo-suda-rf-ot-12072017-n-3-pk17/" TargetMode="External"/><Relationship Id="rId60" Type="http://schemas.openxmlformats.org/officeDocument/2006/relationships/hyperlink" Target="http://legalacts.ru/kodeks/grazhdanskii-kodeks-rsfsr-utv-vs-rsfsr-11061964/" TargetMode="External"/><Relationship Id="rId65" Type="http://schemas.openxmlformats.org/officeDocument/2006/relationships/hyperlink" Target="http://legalacts.ru/kodeks/kodeks-zakonov-o-trude-rossiiskoi-federatsii-utv/" TargetMode="External"/><Relationship Id="rId73" Type="http://schemas.openxmlformats.org/officeDocument/2006/relationships/hyperlink" Target="http://legalacts.ru/doc/79_FZ-o-gosudarstvennoj-grazhdanskoj-sluzhbe/" TargetMode="External"/><Relationship Id="rId78" Type="http://schemas.openxmlformats.org/officeDocument/2006/relationships/hyperlink" Target="http://legalacts.ru/doc/FZ-ob-ohrane-okruzhajuwej-sredy/" TargetMode="External"/><Relationship Id="rId81" Type="http://schemas.openxmlformats.org/officeDocument/2006/relationships/hyperlink" Target="http://legalacts.ru/doc/FZ-o-zawite-konkurencii/" TargetMode="External"/><Relationship Id="rId86" Type="http://schemas.openxmlformats.org/officeDocument/2006/relationships/hyperlink" Target="http://legalacts.ru/doc/FZ-o-nesostojatelnosti-bankrotstve/" TargetMode="External"/><Relationship Id="rId94" Type="http://schemas.openxmlformats.org/officeDocument/2006/relationships/hyperlink" Target="http://legalacts.ru/kodeks/GK-RF-chast-1/razdel-iii/podrazdel-1/glava-25/statja-395/" TargetMode="External"/><Relationship Id="rId99" Type="http://schemas.openxmlformats.org/officeDocument/2006/relationships/hyperlink" Target="http://legalacts.ru/kodeks/Bjudzhetnyj-kodeks/chast-iii/razdel-v/glava-18/statja-161/" TargetMode="External"/><Relationship Id="rId101" Type="http://schemas.openxmlformats.org/officeDocument/2006/relationships/hyperlink" Target="http://legalacts.ru/kodeks/UPK-RF/chast-2/razdel-vii/glava-19/statja-1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kontseptsija-obshchenatsionalnoi-sistemy-vyjavlenija-i-razvitija-molodykh/" TargetMode="External"/><Relationship Id="rId13" Type="http://schemas.openxmlformats.org/officeDocument/2006/relationships/hyperlink" Target="http://legalacts.ru/doc/pismo-minobrnauki-rossii-ot-27022015-n-08-223/" TargetMode="External"/><Relationship Id="rId18" Type="http://schemas.openxmlformats.org/officeDocument/2006/relationships/hyperlink" Target="http://legalacts.ru/kodeks/VodniyKodeks-RF/" TargetMode="External"/><Relationship Id="rId39" Type="http://schemas.openxmlformats.org/officeDocument/2006/relationships/hyperlink" Target="http://legalacts.ru/kodeks/UPK-RF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legalacts.ru/kodeks/NK-RF-chast-2/" TargetMode="External"/><Relationship Id="rId50" Type="http://schemas.openxmlformats.org/officeDocument/2006/relationships/hyperlink" Target="http://legalacts.ru/sud/postanovlenie-prezidiuma-verkhovnogo-suda-rf-ot-12072017-n-110-p17/" TargetMode="External"/><Relationship Id="rId55" Type="http://schemas.openxmlformats.org/officeDocument/2006/relationships/hyperlink" Target="http://legalacts.ru/sud/postanovlenie-prezidiuma-verkhovnogo-suda-rf-ot-12072017-n-114-p17/" TargetMode="External"/><Relationship Id="rId76" Type="http://schemas.openxmlformats.org/officeDocument/2006/relationships/hyperlink" Target="http://legalacts.ru/doc/federalnyi-zakon-ot-25122008-n-273-fz-o/" TargetMode="External"/><Relationship Id="rId97" Type="http://schemas.openxmlformats.org/officeDocument/2006/relationships/hyperlink" Target="http://legalacts.ru/kodeks/Bjudzhetnyj-kodeks/chast-ii/razdel-iii/glava-10/statja-78/" TargetMode="External"/><Relationship Id="rId104" Type="http://schemas.openxmlformats.org/officeDocument/2006/relationships/hyperlink" Target="http://legalacts.ru/kodeks/APK-RF/razdel-ii/glava-13/statja-126/" TargetMode="External"/><Relationship Id="rId7" Type="http://schemas.openxmlformats.org/officeDocument/2006/relationships/hyperlink" Target="http://legalacts.ru/doc/rasporjazhenie-pravitelstva-rf-ot-05022015-n-167-r/" TargetMode="External"/><Relationship Id="rId71" Type="http://schemas.openxmlformats.org/officeDocument/2006/relationships/hyperlink" Target="http://legalacts.ru/doc/FZ-ob-objazat-strahovanii-grazhd-otvetstv-vladelcev-TS-_OSAGO_/" TargetMode="External"/><Relationship Id="rId92" Type="http://schemas.openxmlformats.org/officeDocument/2006/relationships/hyperlink" Target="http://legalacts.ru/kodeks/GK-RF-chast-1/razdel-iii/podrazdel-1/glava-23/ss-2/statja-3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4824</Words>
  <Characters>27501</Characters>
  <Application>Microsoft Office Word</Application>
  <DocSecurity>0</DocSecurity>
  <Lines>229</Lines>
  <Paragraphs>64</Paragraphs>
  <ScaleCrop>false</ScaleCrop>
  <Company/>
  <LinksUpToDate>false</LinksUpToDate>
  <CharactersWithSpaces>32261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2</cp:revision>
  <dcterms:created xsi:type="dcterms:W3CDTF">2017-08-16T10:38:00Z</dcterms:created>
  <dcterms:modified xsi:type="dcterms:W3CDTF">2017-08-16T10:39:00Z</dcterms:modified>
</cp:coreProperties>
</file>